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style24"/>
        <w:spacing w:after="0" w:before="0" w:line="100" w:lineRule="atLeast"/>
        <w:contextualSpacing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LEGISLAȚIE CARE REGLEMENTEAZĂ  ŞI SPRIJINĂ ACTIVITATEA PROFESORULUI CONSILIER ȘCOLAR/PROFESORULUI LOGOPED</w:t>
      </w:r>
    </w:p>
    <w:tbl>
      <w:tblPr>
        <w:jc w:val="left"/>
        <w:tblInd w:type="dxa" w:w="-518"/>
        <w:tblBorders>
          <w:top w:color="000001" w:space="0" w:sz="4" w:val="single"/>
          <w:left w:color="000001" w:space="0" w:sz="4" w:val="single"/>
          <w:bottom w:color="000001" w:space="0" w:sz="4" w:val="single"/>
          <w:insideH w:color="000001" w:space="0" w:sz="4" w:val="single"/>
          <w:right w:color="000001" w:space="0" w:sz="4" w:val="single"/>
          <w:insideV w:color="000001" w:space="0" w:sz="4" w:val="single"/>
        </w:tblBorders>
        <w:tblCellMar>
          <w:top w:type="dxa" w:w="0"/>
          <w:left w:type="dxa" w:w="93"/>
          <w:bottom w:type="dxa" w:w="0"/>
          <w:right w:type="dxa" w:w="108"/>
        </w:tblCellMar>
      </w:tblPr>
      <w:tblGrid>
        <w:gridCol w:w="708"/>
        <w:gridCol w:w="2455"/>
        <w:gridCol w:w="1369"/>
        <w:gridCol w:w="5955"/>
      </w:tblGrid>
      <w:tr>
        <w:trPr>
          <w:cantSplit w:val="false"/>
        </w:trPr>
        <w:tc>
          <w:tcPr>
            <w:tcW w:type="dxa" w:w="70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left w:type="dxa" w:w="93"/>
            </w:tcMar>
          </w:tcPr>
          <w:p>
            <w:pPr>
              <w:pStyle w:val="style25"/>
              <w:spacing w:after="0" w:before="0" w:line="100" w:lineRule="atLeast"/>
              <w:contextualSpacing w:val="false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NR.</w:t>
            </w:r>
          </w:p>
          <w:p>
            <w:pPr>
              <w:pStyle w:val="style25"/>
              <w:spacing w:after="0" w:before="0" w:line="100" w:lineRule="atLeast"/>
              <w:contextualSpacing w:val="false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CRT</w:t>
            </w:r>
          </w:p>
        </w:tc>
        <w:tc>
          <w:tcPr>
            <w:tcW w:type="dxa" w:w="245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left w:type="dxa" w:w="93"/>
            </w:tcMar>
          </w:tcPr>
          <w:p>
            <w:pPr>
              <w:pStyle w:val="style25"/>
              <w:spacing w:after="0" w:before="0" w:line="100" w:lineRule="atLeast"/>
              <w:contextualSpacing w:val="false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LEGE/ ADERSA/</w:t>
            </w:r>
          </w:p>
          <w:p>
            <w:pPr>
              <w:pStyle w:val="style25"/>
              <w:spacing w:after="0" w:before="0" w:line="100" w:lineRule="atLeast"/>
              <w:contextualSpacing w:val="false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ORDIN</w:t>
            </w:r>
          </w:p>
        </w:tc>
        <w:tc>
          <w:tcPr>
            <w:tcW w:type="dxa" w:w="1369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left w:type="dxa" w:w="93"/>
            </w:tcMar>
          </w:tcPr>
          <w:p>
            <w:pPr>
              <w:pStyle w:val="style25"/>
              <w:spacing w:after="0" w:before="0" w:line="100" w:lineRule="atLeast"/>
              <w:contextualSpacing w:val="false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DATA EMITERII</w:t>
            </w:r>
          </w:p>
        </w:tc>
        <w:tc>
          <w:tcPr>
            <w:tcW w:type="dxa" w:w="595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left w:type="dxa" w:w="93"/>
            </w:tcMar>
          </w:tcPr>
          <w:p>
            <w:pPr>
              <w:pStyle w:val="style25"/>
              <w:spacing w:after="0" w:before="0" w:line="100" w:lineRule="atLeast"/>
              <w:contextualSpacing w:val="false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REFERINȚA</w:t>
            </w:r>
          </w:p>
        </w:tc>
      </w:tr>
      <w:tr>
        <w:trPr>
          <w:cantSplit w:val="false"/>
        </w:trPr>
        <w:tc>
          <w:tcPr>
            <w:tcW w:type="dxa" w:w="70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left w:type="dxa" w:w="93"/>
            </w:tcMar>
          </w:tcPr>
          <w:p>
            <w:pPr>
              <w:pStyle w:val="style25"/>
              <w:spacing w:after="0" w:before="0" w:line="100" w:lineRule="atLeast"/>
              <w:contextualSpacing w:val="fals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type="dxa" w:w="245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left w:type="dxa" w:w="93"/>
            </w:tcMar>
          </w:tcPr>
          <w:p>
            <w:pPr>
              <w:pStyle w:val="style25"/>
              <w:spacing w:after="0" w:before="0" w:line="100" w:lineRule="atLeast"/>
              <w:contextualSpacing w:val="fals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Legea nr 1 </w:t>
            </w:r>
          </w:p>
        </w:tc>
        <w:tc>
          <w:tcPr>
            <w:tcW w:type="dxa" w:w="1369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left w:type="dxa" w:w="93"/>
            </w:tcMar>
          </w:tcPr>
          <w:p>
            <w:pPr>
              <w:pStyle w:val="style25"/>
              <w:spacing w:after="0" w:before="0" w:line="100" w:lineRule="atLeast"/>
              <w:contextualSpacing w:val="fals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10.01.2011</w:t>
            </w:r>
          </w:p>
        </w:tc>
        <w:tc>
          <w:tcPr>
            <w:tcW w:type="dxa" w:w="595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left w:type="dxa" w:w="93"/>
            </w:tcMar>
          </w:tcPr>
          <w:p>
            <w:pPr>
              <w:pStyle w:val="style25"/>
              <w:spacing w:after="0" w:before="0" w:line="100" w:lineRule="atLeast"/>
              <w:contextualSpacing w:val="fals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Legea Educației Naționale</w:t>
            </w:r>
          </w:p>
        </w:tc>
      </w:tr>
      <w:tr>
        <w:trPr>
          <w:cantSplit w:val="false"/>
        </w:trPr>
        <w:tc>
          <w:tcPr>
            <w:tcW w:type="dxa" w:w="70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left w:type="dxa" w:w="93"/>
            </w:tcMar>
          </w:tcPr>
          <w:p>
            <w:pPr>
              <w:pStyle w:val="style25"/>
              <w:spacing w:after="0" w:before="0" w:line="100" w:lineRule="atLeast"/>
              <w:contextualSpacing w:val="fals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type="dxa" w:w="245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left w:type="dxa" w:w="93"/>
            </w:tcMar>
          </w:tcPr>
          <w:p>
            <w:pPr>
              <w:pStyle w:val="style25"/>
              <w:spacing w:after="0" w:before="0" w:line="100" w:lineRule="atLeast"/>
              <w:contextualSpacing w:val="false"/>
              <w:rPr>
                <w:rFonts w:ascii="Times New Roman" w:eastAsia="Times New Roman" w:hAnsi="Times New Roman"/>
                <w:lang w:eastAsia="ro-RO"/>
              </w:rPr>
            </w:pPr>
            <w:hyperlink r:id="rId2">
              <w:r>
                <w:rPr>
                  <w:rStyle w:val="style17"/>
                  <w:rFonts w:ascii="Times New Roman" w:eastAsia="Times New Roman" w:hAnsi="Times New Roman"/>
                  <w:bCs/>
                </w:rPr>
                <w:t>Legea nr. 272</w:t>
              </w:r>
            </w:hyperlink>
            <w:r>
              <w:rPr>
                <w:rStyle w:val="style17"/>
                <w:rFonts w:ascii="Times New Roman" w:eastAsia="Times New Roman" w:hAnsi="Times New Roman"/>
              </w:rPr>
              <w:t xml:space="preserve"> </w:t>
            </w:r>
            <w:r>
              <w:rPr>
                <w:rFonts w:ascii="Times New Roman" w:eastAsia="Times New Roman" w:hAnsi="Times New Roman"/>
                <w:lang w:eastAsia="ro-RO"/>
              </w:rPr>
              <w:t xml:space="preserve"> </w:t>
            </w:r>
          </w:p>
        </w:tc>
        <w:tc>
          <w:tcPr>
            <w:tcW w:type="dxa" w:w="1369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left w:type="dxa" w:w="93"/>
            </w:tcMar>
          </w:tcPr>
          <w:p>
            <w:pPr>
              <w:pStyle w:val="style25"/>
              <w:spacing w:after="0" w:before="0" w:line="100" w:lineRule="atLeast"/>
              <w:contextualSpacing w:val="fals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2004</w:t>
            </w:r>
          </w:p>
        </w:tc>
        <w:tc>
          <w:tcPr>
            <w:tcW w:type="dxa" w:w="595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left w:type="dxa" w:w="93"/>
            </w:tcMar>
          </w:tcPr>
          <w:p>
            <w:pPr>
              <w:pStyle w:val="style25"/>
              <w:spacing w:after="0" w:before="0" w:line="100" w:lineRule="atLeast"/>
              <w:contextualSpacing w:val="fals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Protecția și promovarea drepturilor copilului</w:t>
            </w:r>
          </w:p>
        </w:tc>
      </w:tr>
      <w:tr>
        <w:trPr>
          <w:cantSplit w:val="false"/>
        </w:trPr>
        <w:tc>
          <w:tcPr>
            <w:tcW w:type="dxa" w:w="70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left w:type="dxa" w:w="93"/>
            </w:tcMar>
          </w:tcPr>
          <w:p>
            <w:pPr>
              <w:pStyle w:val="style25"/>
              <w:spacing w:after="0" w:before="0" w:line="100" w:lineRule="atLeast"/>
              <w:contextualSpacing w:val="fals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type="dxa" w:w="245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left w:type="dxa" w:w="93"/>
            </w:tcMar>
          </w:tcPr>
          <w:p>
            <w:pPr>
              <w:pStyle w:val="style25"/>
              <w:spacing w:after="0" w:before="0" w:line="100" w:lineRule="atLeast"/>
              <w:contextualSpacing w:val="false"/>
              <w:rPr>
                <w:rFonts w:ascii="Times New Roman" w:eastAsia="Times New Roman" w:hAnsi="Times New Roman"/>
                <w:lang w:eastAsia="ro-RO"/>
              </w:rPr>
            </w:pPr>
            <w:hyperlink r:id="rId3">
              <w:r>
                <w:rPr>
                  <w:rStyle w:val="style17"/>
                  <w:rFonts w:ascii="Times New Roman" w:eastAsia="Times New Roman" w:hAnsi="Times New Roman"/>
                  <w:bCs/>
                </w:rPr>
                <w:t>Legea nr. 448</w:t>
              </w:r>
            </w:hyperlink>
            <w:r>
              <w:rPr>
                <w:rStyle w:val="style17"/>
                <w:rFonts w:ascii="Times New Roman" w:eastAsia="Times New Roman" w:hAnsi="Times New Roman"/>
              </w:rPr>
              <w:t xml:space="preserve"> </w:t>
            </w:r>
            <w:r>
              <w:rPr>
                <w:rFonts w:ascii="Times New Roman" w:eastAsia="Times New Roman" w:hAnsi="Times New Roman"/>
                <w:lang w:eastAsia="ro-RO"/>
              </w:rPr>
              <w:t xml:space="preserve"> </w:t>
            </w:r>
          </w:p>
        </w:tc>
        <w:tc>
          <w:tcPr>
            <w:tcW w:type="dxa" w:w="1369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left w:type="dxa" w:w="93"/>
            </w:tcMar>
          </w:tcPr>
          <w:p>
            <w:pPr>
              <w:pStyle w:val="style25"/>
              <w:spacing w:after="0" w:before="0" w:line="100" w:lineRule="atLeast"/>
              <w:contextualSpacing w:val="fals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2006</w:t>
            </w:r>
          </w:p>
        </w:tc>
        <w:tc>
          <w:tcPr>
            <w:tcW w:type="dxa" w:w="595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left w:type="dxa" w:w="93"/>
            </w:tcMar>
          </w:tcPr>
          <w:p>
            <w:pPr>
              <w:pStyle w:val="style25"/>
              <w:spacing w:after="0" w:before="0" w:line="100" w:lineRule="atLeast"/>
              <w:contextualSpacing w:val="fals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Protectia si promovarea drepturilor persoanelor cu handicap</w:t>
            </w:r>
          </w:p>
        </w:tc>
      </w:tr>
      <w:tr>
        <w:trPr>
          <w:cantSplit w:val="false"/>
        </w:trPr>
        <w:tc>
          <w:tcPr>
            <w:tcW w:type="dxa" w:w="70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left w:type="dxa" w:w="93"/>
            </w:tcMar>
          </w:tcPr>
          <w:p>
            <w:pPr>
              <w:pStyle w:val="style25"/>
              <w:spacing w:after="0" w:before="0" w:line="100" w:lineRule="atLeast"/>
              <w:contextualSpacing w:val="fals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type="dxa" w:w="245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left w:type="dxa" w:w="93"/>
            </w:tcMar>
          </w:tcPr>
          <w:p>
            <w:pPr>
              <w:pStyle w:val="style25"/>
              <w:spacing w:after="0" w:before="0" w:line="100" w:lineRule="atLeast"/>
              <w:contextualSpacing w:val="fals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Ordin nr 5286</w:t>
            </w:r>
          </w:p>
        </w:tc>
        <w:tc>
          <w:tcPr>
            <w:tcW w:type="dxa" w:w="1369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left w:type="dxa" w:w="93"/>
            </w:tcMar>
          </w:tcPr>
          <w:p>
            <w:pPr>
              <w:pStyle w:val="style25"/>
              <w:spacing w:after="0" w:before="0" w:line="100" w:lineRule="atLeast"/>
              <w:contextualSpacing w:val="fals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9.10.2006</w:t>
            </w:r>
          </w:p>
        </w:tc>
        <w:tc>
          <w:tcPr>
            <w:tcW w:type="dxa" w:w="595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left w:type="dxa" w:w="93"/>
            </w:tcMar>
          </w:tcPr>
          <w:p>
            <w:pPr>
              <w:pStyle w:val="style25"/>
              <w:spacing w:after="0" w:before="0" w:line="100" w:lineRule="atLeast"/>
              <w:contextualSpacing w:val="fals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Programa școlară – aria curriculară consiliere și orientare, cls. I - VIII</w:t>
            </w:r>
          </w:p>
        </w:tc>
      </w:tr>
      <w:tr>
        <w:trPr>
          <w:cantSplit w:val="false"/>
        </w:trPr>
        <w:tc>
          <w:tcPr>
            <w:tcW w:type="dxa" w:w="70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left w:type="dxa" w:w="93"/>
            </w:tcMar>
          </w:tcPr>
          <w:p>
            <w:pPr>
              <w:pStyle w:val="style25"/>
              <w:spacing w:after="0" w:before="0" w:line="100" w:lineRule="atLeast"/>
              <w:contextualSpacing w:val="fals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type="dxa" w:w="245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left w:type="dxa" w:w="93"/>
            </w:tcMar>
          </w:tcPr>
          <w:p>
            <w:pPr>
              <w:pStyle w:val="style25"/>
              <w:spacing w:after="0" w:before="0" w:line="100" w:lineRule="atLeast"/>
              <w:contextualSpacing w:val="false"/>
              <w:rPr>
                <w:rFonts w:ascii="Times New Roman" w:hAnsi="Times New Roman"/>
                <w:i/>
                <w:iCs/>
              </w:rPr>
            </w:pPr>
            <w:r>
              <w:rPr>
                <w:rFonts w:ascii="Times New Roman" w:hAnsi="Times New Roman"/>
                <w:i/>
                <w:iCs/>
              </w:rPr>
              <w:t xml:space="preserve">Ordinul ministrului </w:t>
            </w:r>
          </w:p>
          <w:p>
            <w:pPr>
              <w:pStyle w:val="style25"/>
              <w:spacing w:after="0" w:before="0" w:line="100" w:lineRule="atLeast"/>
              <w:contextualSpacing w:val="false"/>
              <w:rPr>
                <w:rFonts w:ascii="Times New Roman" w:hAnsi="Times New Roman"/>
                <w:i/>
                <w:iCs/>
              </w:rPr>
            </w:pPr>
            <w:r>
              <w:rPr>
                <w:rFonts w:ascii="Times New Roman" w:hAnsi="Times New Roman"/>
                <w:i/>
                <w:iCs/>
              </w:rPr>
              <w:t xml:space="preserve">Nr. 3488  </w:t>
            </w:r>
          </w:p>
        </w:tc>
        <w:tc>
          <w:tcPr>
            <w:tcW w:type="dxa" w:w="1369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left w:type="dxa" w:w="93"/>
            </w:tcMar>
          </w:tcPr>
          <w:p>
            <w:pPr>
              <w:pStyle w:val="style25"/>
              <w:spacing w:after="0" w:before="0" w:line="100" w:lineRule="atLeast"/>
              <w:contextualSpacing w:val="false"/>
              <w:rPr>
                <w:rFonts w:ascii="Times New Roman" w:hAnsi="Times New Roman"/>
                <w:i/>
                <w:iCs/>
              </w:rPr>
            </w:pPr>
            <w:r>
              <w:rPr>
                <w:rFonts w:ascii="Times New Roman" w:hAnsi="Times New Roman"/>
                <w:i/>
                <w:iCs/>
              </w:rPr>
              <w:t>23.03.2006</w:t>
            </w:r>
          </w:p>
        </w:tc>
        <w:tc>
          <w:tcPr>
            <w:tcW w:type="dxa" w:w="595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left w:type="dxa" w:w="93"/>
            </w:tcMar>
          </w:tcPr>
          <w:p>
            <w:pPr>
              <w:pStyle w:val="style25"/>
              <w:spacing w:after="0" w:before="0" w:line="100" w:lineRule="atLeast"/>
              <w:contextualSpacing w:val="fals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 xml:space="preserve">Programă şcolară pentru ciclul superior al liceului </w:t>
            </w:r>
            <w:r>
              <w:rPr>
                <w:rFonts w:ascii="Times New Roman" w:hAnsi="Times New Roman"/>
                <w:bCs/>
                <w:i/>
              </w:rPr>
              <w:t xml:space="preserve">ORIENTARE ŞI CONSILIERE VOCAŢIONALĂ </w:t>
            </w:r>
            <w:r>
              <w:rPr>
                <w:rFonts w:ascii="Times New Roman" w:hAnsi="Times New Roman"/>
                <w:bCs/>
              </w:rPr>
              <w:t xml:space="preserve">Filiera tehnologică </w:t>
            </w:r>
            <w:r>
              <w:rPr>
                <w:rFonts w:ascii="Times New Roman" w:hAnsi="Times New Roman"/>
              </w:rPr>
              <w:t xml:space="preserve">Cls. a XI-a, a XII-a, ruta directă de calificare Cls. a XII-a,  a XIII-a, ruta progresivă </w:t>
            </w:r>
          </w:p>
        </w:tc>
      </w:tr>
      <w:tr>
        <w:trPr>
          <w:cantSplit w:val="false"/>
        </w:trPr>
        <w:tc>
          <w:tcPr>
            <w:tcW w:type="dxa" w:w="70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left w:type="dxa" w:w="93"/>
            </w:tcMar>
          </w:tcPr>
          <w:p>
            <w:pPr>
              <w:pStyle w:val="style25"/>
              <w:spacing w:after="0" w:before="0" w:line="100" w:lineRule="atLeast"/>
              <w:contextualSpacing w:val="fals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type="dxa" w:w="245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left w:type="dxa" w:w="93"/>
            </w:tcMar>
          </w:tcPr>
          <w:p>
            <w:pPr>
              <w:pStyle w:val="style25"/>
              <w:spacing w:after="0" w:before="0" w:line="100" w:lineRule="atLeast"/>
              <w:contextualSpacing w:val="false"/>
              <w:rPr>
                <w:rFonts w:ascii="Times New Roman" w:hAnsi="Times New Roman"/>
                <w:i/>
                <w:lang w:val="it-IT"/>
              </w:rPr>
            </w:pPr>
            <w:r>
              <w:rPr>
                <w:rFonts w:ascii="Times New Roman" w:hAnsi="Times New Roman"/>
                <w:i/>
                <w:lang w:val="it-IT"/>
              </w:rPr>
              <w:t xml:space="preserve">ordin al ministrului Nr. 3872 </w:t>
            </w:r>
          </w:p>
        </w:tc>
        <w:tc>
          <w:tcPr>
            <w:tcW w:type="dxa" w:w="1369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left w:type="dxa" w:w="93"/>
            </w:tcMar>
          </w:tcPr>
          <w:p>
            <w:pPr>
              <w:pStyle w:val="style25"/>
              <w:spacing w:after="0" w:before="0" w:line="100" w:lineRule="atLeast"/>
              <w:contextualSpacing w:val="false"/>
              <w:rPr>
                <w:rFonts w:ascii="Times New Roman" w:hAnsi="Times New Roman"/>
                <w:i/>
                <w:lang w:val="it-IT"/>
              </w:rPr>
            </w:pPr>
            <w:r>
              <w:rPr>
                <w:rFonts w:ascii="Times New Roman" w:hAnsi="Times New Roman"/>
                <w:i/>
                <w:lang w:val="it-IT"/>
              </w:rPr>
              <w:t>13.04.2005</w:t>
            </w:r>
          </w:p>
        </w:tc>
        <w:tc>
          <w:tcPr>
            <w:tcW w:type="dxa" w:w="595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left w:type="dxa" w:w="93"/>
            </w:tcMar>
          </w:tcPr>
          <w:p>
            <w:pPr>
              <w:pStyle w:val="style25"/>
              <w:spacing w:after="0" w:before="0" w:line="100" w:lineRule="atLeast"/>
              <w:contextualSpacing w:val="false"/>
              <w:rPr>
                <w:rFonts w:ascii="Times New Roman" w:hAnsi="Times New Roman"/>
                <w:color w:val="00000A"/>
              </w:rPr>
            </w:pPr>
            <w:r>
              <w:rPr>
                <w:rFonts w:ascii="Times New Roman" w:hAnsi="Times New Roman"/>
                <w:color w:val="00000A"/>
              </w:rPr>
              <w:t>Programă şcolară pentru anul de completare (clasa a xi-a) orientare şi consiliere vocaţională</w:t>
            </w:r>
          </w:p>
        </w:tc>
      </w:tr>
      <w:tr>
        <w:trPr>
          <w:cantSplit w:val="false"/>
        </w:trPr>
        <w:tc>
          <w:tcPr>
            <w:tcW w:type="dxa" w:w="70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left w:type="dxa" w:w="93"/>
            </w:tcMar>
          </w:tcPr>
          <w:p>
            <w:pPr>
              <w:pStyle w:val="style25"/>
              <w:spacing w:after="0" w:before="0" w:line="100" w:lineRule="atLeast"/>
              <w:contextualSpacing w:val="fals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type="dxa" w:w="245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left w:type="dxa" w:w="93"/>
            </w:tcMar>
          </w:tcPr>
          <w:p>
            <w:pPr>
              <w:pStyle w:val="style25"/>
              <w:spacing w:after="0" w:before="0" w:line="100" w:lineRule="atLeast"/>
              <w:contextualSpacing w:val="fals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Anexa nr. II la OMECTS Nr. 4763</w:t>
            </w:r>
          </w:p>
        </w:tc>
        <w:tc>
          <w:tcPr>
            <w:tcW w:type="dxa" w:w="1369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left w:type="dxa" w:w="93"/>
            </w:tcMar>
          </w:tcPr>
          <w:p>
            <w:pPr>
              <w:pStyle w:val="style25"/>
              <w:spacing w:after="0" w:before="0" w:line="100" w:lineRule="atLeast"/>
              <w:contextualSpacing w:val="fals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26.07.2006</w:t>
            </w:r>
          </w:p>
        </w:tc>
        <w:tc>
          <w:tcPr>
            <w:tcW w:type="dxa" w:w="595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left w:type="dxa" w:w="93"/>
            </w:tcMar>
          </w:tcPr>
          <w:p>
            <w:pPr>
              <w:pStyle w:val="style25"/>
              <w:spacing w:after="0" w:before="0" w:line="100" w:lineRule="atLeast"/>
              <w:contextualSpacing w:val="fals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Lista  minimala cu bunurile necesare dotarii unui cabinet de consiliere  psihopedagogica/cabinet logopedic</w:t>
            </w:r>
          </w:p>
        </w:tc>
      </w:tr>
      <w:tr>
        <w:trPr>
          <w:cantSplit w:val="false"/>
        </w:trPr>
        <w:tc>
          <w:tcPr>
            <w:tcW w:type="dxa" w:w="70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left w:type="dxa" w:w="93"/>
            </w:tcMar>
          </w:tcPr>
          <w:p>
            <w:pPr>
              <w:pStyle w:val="style25"/>
              <w:spacing w:after="0" w:before="0" w:line="100" w:lineRule="atLeast"/>
              <w:contextualSpacing w:val="fals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type="dxa" w:w="245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left w:type="dxa" w:w="93"/>
            </w:tcMar>
          </w:tcPr>
          <w:p>
            <w:pPr>
              <w:pStyle w:val="style25"/>
              <w:spacing w:after="0" w:before="0" w:line="100" w:lineRule="atLeast"/>
              <w:contextualSpacing w:val="fals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O.U.G. Nr. 52/2006 </w:t>
            </w:r>
          </w:p>
        </w:tc>
        <w:tc>
          <w:tcPr>
            <w:tcW w:type="dxa" w:w="1369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left w:type="dxa" w:w="93"/>
            </w:tcMar>
          </w:tcPr>
          <w:p>
            <w:pPr>
              <w:pStyle w:val="style25"/>
              <w:spacing w:after="0" w:before="0" w:line="100" w:lineRule="atLeast"/>
              <w:contextualSpacing w:val="fals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28.06.2006</w:t>
            </w:r>
          </w:p>
        </w:tc>
        <w:tc>
          <w:tcPr>
            <w:tcW w:type="dxa" w:w="595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left w:type="dxa" w:w="93"/>
            </w:tcMar>
          </w:tcPr>
          <w:p>
            <w:pPr>
              <w:pStyle w:val="style25"/>
              <w:spacing w:after="0" w:before="0" w:line="100" w:lineRule="atLeast"/>
              <w:contextualSpacing w:val="fals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Rectificarea bugetului de stat pe anul 2006</w:t>
            </w:r>
          </w:p>
        </w:tc>
      </w:tr>
      <w:tr>
        <w:trPr>
          <w:cantSplit w:val="false"/>
        </w:trPr>
        <w:tc>
          <w:tcPr>
            <w:tcW w:type="dxa" w:w="70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left w:type="dxa" w:w="93"/>
            </w:tcMar>
          </w:tcPr>
          <w:p>
            <w:pPr>
              <w:pStyle w:val="style25"/>
              <w:spacing w:after="0" w:before="0" w:line="100" w:lineRule="atLeast"/>
              <w:contextualSpacing w:val="fals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type="dxa" w:w="245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left w:type="dxa" w:w="93"/>
            </w:tcMar>
          </w:tcPr>
          <w:p>
            <w:pPr>
              <w:pStyle w:val="style25"/>
              <w:spacing w:after="0" w:before="0" w:line="100" w:lineRule="atLeast"/>
              <w:contextualSpacing w:val="false"/>
              <w:rPr>
                <w:rStyle w:val="style16"/>
                <w:rFonts w:ascii="Times New Roman" w:hAnsi="Times New Roman"/>
              </w:rPr>
            </w:pPr>
            <w:r>
              <w:rPr>
                <w:rStyle w:val="style16"/>
                <w:rFonts w:ascii="Times New Roman" w:hAnsi="Times New Roman"/>
              </w:rPr>
              <w:t>OMECTS Nr.5287</w:t>
            </w:r>
          </w:p>
        </w:tc>
        <w:tc>
          <w:tcPr>
            <w:tcW w:type="dxa" w:w="1369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left w:type="dxa" w:w="93"/>
            </w:tcMar>
          </w:tcPr>
          <w:p>
            <w:pPr>
              <w:pStyle w:val="style25"/>
              <w:spacing w:after="0" w:before="0" w:line="100" w:lineRule="atLeast"/>
              <w:contextualSpacing w:val="false"/>
              <w:rPr>
                <w:rStyle w:val="style16"/>
                <w:rFonts w:ascii="Times New Roman" w:hAnsi="Times New Roman"/>
              </w:rPr>
            </w:pPr>
            <w:r>
              <w:rPr>
                <w:rStyle w:val="style16"/>
                <w:rFonts w:ascii="Times New Roman" w:hAnsi="Times New Roman"/>
              </w:rPr>
              <w:t>09.10.2006</w:t>
            </w:r>
          </w:p>
        </w:tc>
        <w:tc>
          <w:tcPr>
            <w:tcW w:type="dxa" w:w="595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left w:type="dxa" w:w="93"/>
            </w:tcMar>
          </w:tcPr>
          <w:p>
            <w:pPr>
              <w:pStyle w:val="style25"/>
              <w:spacing w:after="0" w:before="0" w:line="100" w:lineRule="atLeast"/>
              <w:contextualSpacing w:val="false"/>
              <w:rPr>
                <w:rStyle w:val="style16"/>
                <w:rFonts w:ascii="Times New Roman" w:hAnsi="Times New Roman"/>
              </w:rPr>
            </w:pPr>
            <w:r>
              <w:rPr>
                <w:rStyle w:val="style16"/>
                <w:rFonts w:ascii="Times New Roman" w:hAnsi="Times New Roman"/>
              </w:rPr>
              <w:t>Aprobarea programelor şcolare pentru aria curriculară „Consiliere şi orientare”, clasele a IX-a – a XII-a</w:t>
            </w:r>
          </w:p>
        </w:tc>
      </w:tr>
      <w:tr>
        <w:trPr>
          <w:cantSplit w:val="false"/>
        </w:trPr>
        <w:tc>
          <w:tcPr>
            <w:tcW w:type="dxa" w:w="70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left w:type="dxa" w:w="93"/>
            </w:tcMar>
          </w:tcPr>
          <w:p>
            <w:pPr>
              <w:pStyle w:val="style25"/>
              <w:spacing w:after="0" w:before="0" w:line="100" w:lineRule="atLeast"/>
              <w:contextualSpacing w:val="fals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type="dxa" w:w="245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left w:type="dxa" w:w="93"/>
            </w:tcMar>
          </w:tcPr>
          <w:p>
            <w:pPr>
              <w:pStyle w:val="style25"/>
              <w:spacing w:after="0" w:before="0" w:line="100" w:lineRule="atLeast"/>
              <w:contextualSpacing w:val="fals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OMECTS Nr. 1539</w:t>
            </w:r>
          </w:p>
        </w:tc>
        <w:tc>
          <w:tcPr>
            <w:tcW w:type="dxa" w:w="1369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left w:type="dxa" w:w="93"/>
            </w:tcMar>
          </w:tcPr>
          <w:p>
            <w:pPr>
              <w:pStyle w:val="style25"/>
              <w:spacing w:after="0" w:before="0" w:line="100" w:lineRule="atLeast"/>
              <w:contextualSpacing w:val="fals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19.07.2007</w:t>
            </w:r>
          </w:p>
        </w:tc>
        <w:tc>
          <w:tcPr>
            <w:tcW w:type="dxa" w:w="595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left w:type="dxa" w:w="93"/>
            </w:tcMar>
          </w:tcPr>
          <w:p>
            <w:pPr>
              <w:pStyle w:val="style25"/>
              <w:spacing w:after="0" w:before="0" w:line="100" w:lineRule="atLeast"/>
              <w:contextualSpacing w:val="fals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Normele de incadrarea si de activitate ale mediatorului scolar</w:t>
            </w:r>
          </w:p>
        </w:tc>
      </w:tr>
      <w:tr>
        <w:trPr>
          <w:cantSplit w:val="false"/>
        </w:trPr>
        <w:tc>
          <w:tcPr>
            <w:tcW w:type="dxa" w:w="70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left w:type="dxa" w:w="93"/>
            </w:tcMar>
          </w:tcPr>
          <w:p>
            <w:pPr>
              <w:pStyle w:val="style25"/>
              <w:spacing w:after="0" w:before="0" w:line="100" w:lineRule="atLeast"/>
              <w:contextualSpacing w:val="fals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type="dxa" w:w="245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left w:type="dxa" w:w="93"/>
            </w:tcMar>
          </w:tcPr>
          <w:p>
            <w:pPr>
              <w:pStyle w:val="style25"/>
              <w:spacing w:after="0" w:before="0" w:line="100" w:lineRule="atLeast"/>
              <w:contextualSpacing w:val="false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 xml:space="preserve">OMECTS Nr.5573 </w:t>
            </w:r>
          </w:p>
        </w:tc>
        <w:tc>
          <w:tcPr>
            <w:tcW w:type="dxa" w:w="1369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left w:type="dxa" w:w="93"/>
            </w:tcMar>
          </w:tcPr>
          <w:p>
            <w:pPr>
              <w:pStyle w:val="style25"/>
              <w:spacing w:after="0" w:before="0" w:line="100" w:lineRule="atLeast"/>
              <w:contextualSpacing w:val="false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M. Of.787/ 7.10.2011</w:t>
            </w:r>
          </w:p>
        </w:tc>
        <w:tc>
          <w:tcPr>
            <w:tcW w:type="dxa" w:w="595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left w:type="dxa" w:w="93"/>
            </w:tcMar>
          </w:tcPr>
          <w:p>
            <w:pPr>
              <w:pStyle w:val="style25"/>
              <w:spacing w:after="0" w:before="0" w:line="100" w:lineRule="atLeast"/>
              <w:contextualSpacing w:val="false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 xml:space="preserve">Aprobarea Regulamentului de organizare si functionare 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bCs/>
                <w:color w:val="000000"/>
              </w:rPr>
              <w:t>a invatamantului special si special integrat</w:t>
            </w:r>
          </w:p>
        </w:tc>
      </w:tr>
      <w:tr>
        <w:trPr>
          <w:cantSplit w:val="false"/>
        </w:trPr>
        <w:tc>
          <w:tcPr>
            <w:tcW w:type="dxa" w:w="70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left w:type="dxa" w:w="93"/>
            </w:tcMar>
          </w:tcPr>
          <w:p>
            <w:pPr>
              <w:pStyle w:val="style25"/>
              <w:spacing w:after="0" w:before="0" w:line="100" w:lineRule="atLeast"/>
              <w:contextualSpacing w:val="fals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type="dxa" w:w="245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left w:type="dxa" w:w="93"/>
            </w:tcMar>
          </w:tcPr>
          <w:p>
            <w:pPr>
              <w:pStyle w:val="style25"/>
              <w:spacing w:after="0" w:before="0" w:line="100" w:lineRule="atLeast"/>
              <w:contextualSpacing w:val="false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 xml:space="preserve">OMECTS Nr. 5574  </w:t>
            </w:r>
          </w:p>
          <w:p>
            <w:pPr>
              <w:pStyle w:val="style25"/>
              <w:spacing w:after="0" w:before="0" w:line="100" w:lineRule="atLeast"/>
              <w:contextualSpacing w:val="fals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type="dxa" w:w="1369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left w:type="dxa" w:w="93"/>
            </w:tcMar>
          </w:tcPr>
          <w:p>
            <w:pPr>
              <w:pStyle w:val="style25"/>
              <w:spacing w:after="0" w:before="0" w:line="100" w:lineRule="atLeast"/>
              <w:contextualSpacing w:val="fals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M.Of. 785/ 4.11.2011</w:t>
            </w:r>
          </w:p>
        </w:tc>
        <w:tc>
          <w:tcPr>
            <w:tcW w:type="dxa" w:w="595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left w:type="dxa" w:w="93"/>
            </w:tcMar>
          </w:tcPr>
          <w:p>
            <w:pPr>
              <w:pStyle w:val="style25"/>
              <w:spacing w:after="0" w:before="0" w:line="100" w:lineRule="atLeast"/>
              <w:contextualSpacing w:val="false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Metodologiei privind organizareaserviciilor de sprijin educational pentru copiii,elevii si tinerii cu cerinte educationale speciale integrati in invatamantul de masa</w:t>
            </w:r>
          </w:p>
        </w:tc>
      </w:tr>
      <w:tr>
        <w:trPr>
          <w:cantSplit w:val="false"/>
        </w:trPr>
        <w:tc>
          <w:tcPr>
            <w:tcW w:type="dxa" w:w="70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left w:type="dxa" w:w="93"/>
            </w:tcMar>
          </w:tcPr>
          <w:p>
            <w:pPr>
              <w:pStyle w:val="style25"/>
              <w:spacing w:after="0" w:before="0" w:line="100" w:lineRule="atLeast"/>
              <w:contextualSpacing w:val="fals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type="dxa" w:w="245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left w:type="dxa" w:w="93"/>
            </w:tcMar>
          </w:tcPr>
          <w:p>
            <w:pPr>
              <w:pStyle w:val="style25"/>
              <w:spacing w:after="0" w:before="0" w:line="100" w:lineRule="atLeast"/>
              <w:contextualSpacing w:val="false"/>
              <w:rPr>
                <w:rFonts w:ascii="Times New Roman" w:hAnsi="Times New Roman"/>
                <w:color w:val="00000A"/>
              </w:rPr>
            </w:pPr>
            <w:r>
              <w:rPr>
                <w:rFonts w:ascii="Times New Roman" w:hAnsi="Times New Roman"/>
                <w:color w:val="00000A"/>
              </w:rPr>
              <w:t>OMECTS Nr. 5575</w:t>
            </w:r>
          </w:p>
        </w:tc>
        <w:tc>
          <w:tcPr>
            <w:tcW w:type="dxa" w:w="1369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left w:type="dxa" w:w="93"/>
            </w:tcMar>
          </w:tcPr>
          <w:p>
            <w:pPr>
              <w:pStyle w:val="style25"/>
              <w:spacing w:after="0" w:before="0" w:line="100" w:lineRule="atLeast"/>
              <w:contextualSpacing w:val="false"/>
              <w:rPr>
                <w:rStyle w:val="style17"/>
                <w:rFonts w:ascii="Times New Roman" w:hAnsi="Times New Roman"/>
                <w:color w:val="00000A"/>
                <w:u w:val="none"/>
              </w:rPr>
            </w:pPr>
            <w:hyperlink r:id="rId4">
              <w:r>
                <w:rPr>
                  <w:rStyle w:val="style17"/>
                  <w:rFonts w:ascii="Times New Roman" w:hAnsi="Times New Roman"/>
                  <w:color w:val="00000A"/>
                  <w:u w:val="none"/>
                </w:rPr>
                <w:t xml:space="preserve"> </w:t>
              </w:r>
            </w:hyperlink>
            <w:r>
              <w:rPr>
                <w:rStyle w:val="style17"/>
                <w:rFonts w:ascii="Times New Roman" w:hAnsi="Times New Roman"/>
                <w:color w:val="00000A"/>
                <w:u w:val="none"/>
              </w:rPr>
              <w:t>(M. Of. 797/2011)</w:t>
            </w:r>
          </w:p>
        </w:tc>
        <w:tc>
          <w:tcPr>
            <w:tcW w:type="dxa" w:w="595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left w:type="dxa" w:w="93"/>
            </w:tcMar>
          </w:tcPr>
          <w:p>
            <w:pPr>
              <w:pStyle w:val="style25"/>
              <w:spacing w:after="0" w:before="0" w:line="100" w:lineRule="atLeast"/>
              <w:contextualSpacing w:val="fals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Școlarizarea la domiciliu, respectiv infiintarea de grupe/clase in spitale</w:t>
            </w:r>
          </w:p>
        </w:tc>
      </w:tr>
      <w:tr>
        <w:trPr>
          <w:cantSplit w:val="false"/>
        </w:trPr>
        <w:tc>
          <w:tcPr>
            <w:tcW w:type="dxa" w:w="70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left w:type="dxa" w:w="93"/>
            </w:tcMar>
          </w:tcPr>
          <w:p>
            <w:pPr>
              <w:pStyle w:val="style25"/>
              <w:spacing w:after="0" w:before="0" w:line="100" w:lineRule="atLeast"/>
              <w:contextualSpacing w:val="fals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type="dxa" w:w="245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left w:type="dxa" w:w="93"/>
            </w:tcMar>
          </w:tcPr>
          <w:p>
            <w:pPr>
              <w:pStyle w:val="style25"/>
              <w:spacing w:after="0" w:before="0" w:line="100" w:lineRule="atLeast"/>
              <w:contextualSpacing w:val="fals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 xml:space="preserve">OMECTS </w:t>
            </w:r>
            <w:r>
              <w:rPr>
                <w:rFonts w:ascii="Times New Roman" w:hAnsi="Times New Roman"/>
              </w:rPr>
              <w:t xml:space="preserve">Nr. 6.552 </w:t>
            </w:r>
          </w:p>
        </w:tc>
        <w:tc>
          <w:tcPr>
            <w:tcW w:type="dxa" w:w="1369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left w:type="dxa" w:w="93"/>
            </w:tcMar>
          </w:tcPr>
          <w:p>
            <w:pPr>
              <w:pStyle w:val="style25"/>
              <w:spacing w:after="0" w:before="0" w:line="100" w:lineRule="atLeast"/>
              <w:contextualSpacing w:val="fals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13.12.2011</w:t>
            </w:r>
          </w:p>
        </w:tc>
        <w:tc>
          <w:tcPr>
            <w:tcW w:type="dxa" w:w="595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left w:type="dxa" w:w="93"/>
            </w:tcMar>
          </w:tcPr>
          <w:p>
            <w:pPr>
              <w:pStyle w:val="style25"/>
              <w:spacing w:after="0" w:before="0" w:line="100" w:lineRule="atLeast"/>
              <w:contextualSpacing w:val="false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Aprobarea Metodologiei privind evaluarea, asistenţa psihoeducaţională, orientarea şcolară şi orientarea profesională a copiilor, a elevilor şi a tinerilor cu cerinţe educaţionale speciale </w:t>
            </w:r>
          </w:p>
        </w:tc>
      </w:tr>
      <w:tr>
        <w:trPr>
          <w:cantSplit w:val="false"/>
        </w:trPr>
        <w:tc>
          <w:tcPr>
            <w:tcW w:type="dxa" w:w="70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left w:type="dxa" w:w="93"/>
            </w:tcMar>
          </w:tcPr>
          <w:p>
            <w:pPr>
              <w:pStyle w:val="style25"/>
              <w:spacing w:after="0" w:before="0" w:line="100" w:lineRule="atLeast"/>
              <w:contextualSpacing w:val="false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15</w:t>
            </w:r>
          </w:p>
        </w:tc>
        <w:tc>
          <w:tcPr>
            <w:tcW w:type="dxa" w:w="245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left w:type="dxa" w:w="93"/>
            </w:tcMar>
          </w:tcPr>
          <w:p>
            <w:pPr>
              <w:pStyle w:val="style25"/>
              <w:spacing w:after="0" w:before="0" w:line="100" w:lineRule="atLeast"/>
              <w:contextualSpacing w:val="false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OMECTS Nr. 5555</w:t>
            </w:r>
          </w:p>
        </w:tc>
        <w:tc>
          <w:tcPr>
            <w:tcW w:type="dxa" w:w="1369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left w:type="dxa" w:w="93"/>
            </w:tcMar>
          </w:tcPr>
          <w:p>
            <w:pPr>
              <w:pStyle w:val="style25"/>
              <w:spacing w:after="0" w:before="0" w:line="100" w:lineRule="atLeast"/>
              <w:contextualSpacing w:val="false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2011</w:t>
            </w:r>
          </w:p>
        </w:tc>
        <w:tc>
          <w:tcPr>
            <w:tcW w:type="dxa" w:w="595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left w:type="dxa" w:w="93"/>
            </w:tcMar>
          </w:tcPr>
          <w:p>
            <w:pPr>
              <w:pStyle w:val="style25"/>
              <w:spacing w:after="0" w:before="0" w:line="100" w:lineRule="atLeast"/>
              <w:contextualSpacing w:val="false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Aprobarea regulamentului privind organizarea și funcționarea centrelor județene/al municipiului Bucurețti de resurse și asistență educațională</w:t>
            </w:r>
          </w:p>
        </w:tc>
      </w:tr>
      <w:tr>
        <w:trPr>
          <w:cantSplit w:val="false"/>
        </w:trPr>
        <w:tc>
          <w:tcPr>
            <w:tcW w:type="dxa" w:w="70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left w:type="dxa" w:w="93"/>
            </w:tcMar>
          </w:tcPr>
          <w:p>
            <w:pPr>
              <w:pStyle w:val="style25"/>
              <w:spacing w:after="0" w:before="0" w:line="100" w:lineRule="atLeast"/>
              <w:contextualSpacing w:val="fals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type="dxa" w:w="245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left w:type="dxa" w:w="93"/>
            </w:tcMar>
          </w:tcPr>
          <w:p>
            <w:pPr>
              <w:pStyle w:val="style25"/>
              <w:spacing w:after="0" w:before="0" w:line="100" w:lineRule="atLeast"/>
              <w:contextualSpacing w:val="fals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OMECTS Nr. 5560</w:t>
            </w:r>
          </w:p>
        </w:tc>
        <w:tc>
          <w:tcPr>
            <w:tcW w:type="dxa" w:w="1369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left w:type="dxa" w:w="93"/>
            </w:tcMar>
          </w:tcPr>
          <w:p>
            <w:pPr>
              <w:pStyle w:val="style25"/>
              <w:spacing w:after="0" w:before="0" w:line="100" w:lineRule="atLeast"/>
              <w:contextualSpacing w:val="fals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7.10.2011</w:t>
            </w:r>
          </w:p>
        </w:tc>
        <w:tc>
          <w:tcPr>
            <w:tcW w:type="dxa" w:w="595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left w:type="dxa" w:w="93"/>
            </w:tcMar>
          </w:tcPr>
          <w:p>
            <w:pPr>
              <w:pStyle w:val="style25"/>
              <w:spacing w:after="0" w:before="0" w:line="100" w:lineRule="atLeast"/>
              <w:contextualSpacing w:val="fals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Metodologie cadru privind mobilitatea personalului didactic din învățământul preuniversitar în anul școlar 2012 - 2013</w:t>
            </w:r>
          </w:p>
        </w:tc>
      </w:tr>
      <w:tr>
        <w:trPr>
          <w:cantSplit w:val="false"/>
        </w:trPr>
        <w:tc>
          <w:tcPr>
            <w:tcW w:type="dxa" w:w="70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left w:type="dxa" w:w="93"/>
            </w:tcMar>
          </w:tcPr>
          <w:p>
            <w:pPr>
              <w:pStyle w:val="style25"/>
              <w:spacing w:after="0" w:before="0" w:line="100" w:lineRule="atLeast"/>
              <w:contextualSpacing w:val="fals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  <w:tc>
          <w:tcPr>
            <w:tcW w:type="dxa" w:w="245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left w:type="dxa" w:w="93"/>
            </w:tcMar>
          </w:tcPr>
          <w:p>
            <w:pPr>
              <w:pStyle w:val="style25"/>
              <w:spacing w:after="0" w:before="0" w:line="100" w:lineRule="atLeast"/>
              <w:contextualSpacing w:val="fals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OMECTS Nr.6143</w:t>
            </w:r>
          </w:p>
        </w:tc>
        <w:tc>
          <w:tcPr>
            <w:tcW w:type="dxa" w:w="1369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left w:type="dxa" w:w="93"/>
            </w:tcMar>
          </w:tcPr>
          <w:p>
            <w:pPr>
              <w:pStyle w:val="style25"/>
              <w:spacing w:after="0" w:before="0" w:line="100" w:lineRule="atLeast"/>
              <w:contextualSpacing w:val="fals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1.11.2011</w:t>
            </w:r>
          </w:p>
        </w:tc>
        <w:tc>
          <w:tcPr>
            <w:tcW w:type="dxa" w:w="595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left w:type="dxa" w:w="93"/>
            </w:tcMar>
          </w:tcPr>
          <w:p>
            <w:pPr>
              <w:pStyle w:val="style25"/>
              <w:spacing w:after="0" w:before="0" w:line="100" w:lineRule="atLeast"/>
              <w:contextualSpacing w:val="fals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Metodologia de evaluare anuala a activitații personalului didactic și didactic auxiliar</w:t>
            </w:r>
          </w:p>
        </w:tc>
      </w:tr>
      <w:tr>
        <w:trPr>
          <w:cantSplit w:val="false"/>
        </w:trPr>
        <w:tc>
          <w:tcPr>
            <w:tcW w:type="dxa" w:w="70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left w:type="dxa" w:w="93"/>
            </w:tcMar>
          </w:tcPr>
          <w:p>
            <w:pPr>
              <w:pStyle w:val="style25"/>
              <w:spacing w:after="0" w:before="0" w:line="100" w:lineRule="atLeast"/>
              <w:contextualSpacing w:val="fals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  <w:tc>
          <w:tcPr>
            <w:tcW w:type="dxa" w:w="245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left w:type="dxa" w:w="93"/>
            </w:tcMar>
          </w:tcPr>
          <w:p>
            <w:pPr>
              <w:pStyle w:val="style25"/>
              <w:spacing w:after="0" w:before="0" w:line="100" w:lineRule="atLeast"/>
              <w:contextualSpacing w:val="fals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Modificarea anexei 1 din OMECTS 6143 Nr 4613</w:t>
            </w:r>
          </w:p>
        </w:tc>
        <w:tc>
          <w:tcPr>
            <w:tcW w:type="dxa" w:w="1369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left w:type="dxa" w:w="93"/>
            </w:tcMar>
          </w:tcPr>
          <w:p>
            <w:pPr>
              <w:pStyle w:val="style25"/>
              <w:spacing w:after="0" w:before="0" w:line="100" w:lineRule="atLeast"/>
              <w:contextualSpacing w:val="fals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28.06.2012</w:t>
            </w:r>
          </w:p>
        </w:tc>
        <w:tc>
          <w:tcPr>
            <w:tcW w:type="dxa" w:w="595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left w:type="dxa" w:w="93"/>
            </w:tcMar>
          </w:tcPr>
          <w:p>
            <w:pPr>
              <w:pStyle w:val="style25"/>
              <w:spacing w:after="0" w:before="0" w:line="100" w:lineRule="atLeast"/>
              <w:contextualSpacing w:val="fals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Metodologia de evaluare anuala a activitații personalului didactic și didactic auxiliar</w:t>
            </w:r>
          </w:p>
        </w:tc>
      </w:tr>
      <w:tr>
        <w:trPr>
          <w:cantSplit w:val="false"/>
        </w:trPr>
        <w:tc>
          <w:tcPr>
            <w:tcW w:type="dxa" w:w="70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left w:type="dxa" w:w="93"/>
            </w:tcMar>
          </w:tcPr>
          <w:p>
            <w:pPr>
              <w:pStyle w:val="style25"/>
              <w:spacing w:after="0" w:before="0" w:line="100" w:lineRule="atLeast"/>
              <w:contextualSpacing w:val="fals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</w:p>
        </w:tc>
        <w:tc>
          <w:tcPr>
            <w:tcW w:type="dxa" w:w="245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left w:type="dxa" w:w="93"/>
            </w:tcMar>
          </w:tcPr>
          <w:p>
            <w:pPr>
              <w:pStyle w:val="style25"/>
              <w:spacing w:after="0" w:before="0" w:line="100" w:lineRule="atLeast"/>
              <w:contextualSpacing w:val="fals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OMECTS Nr 6239</w:t>
            </w:r>
          </w:p>
        </w:tc>
        <w:tc>
          <w:tcPr>
            <w:tcW w:type="dxa" w:w="1369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left w:type="dxa" w:w="93"/>
            </w:tcMar>
          </w:tcPr>
          <w:p>
            <w:pPr>
              <w:pStyle w:val="style25"/>
              <w:spacing w:after="0" w:before="0" w:line="100" w:lineRule="atLeast"/>
              <w:contextualSpacing w:val="fals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2012</w:t>
            </w:r>
          </w:p>
        </w:tc>
        <w:tc>
          <w:tcPr>
            <w:tcW w:type="dxa" w:w="595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left w:type="dxa" w:w="93"/>
            </w:tcMar>
          </w:tcPr>
          <w:p>
            <w:pPr>
              <w:pStyle w:val="style25"/>
              <w:spacing w:after="0" w:before="0" w:line="100" w:lineRule="atLeast"/>
              <w:contextualSpacing w:val="fals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Metodologia cadru privind mobilitatea personalului didactic din învățămîntul preuniversitar în anul școlar 2012 - 2013</w:t>
            </w:r>
          </w:p>
        </w:tc>
      </w:tr>
      <w:tr>
        <w:trPr>
          <w:cantSplit w:val="false"/>
        </w:trPr>
        <w:tc>
          <w:tcPr>
            <w:tcW w:type="dxa" w:w="70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left w:type="dxa" w:w="93"/>
            </w:tcMar>
          </w:tcPr>
          <w:p>
            <w:pPr>
              <w:pStyle w:val="style25"/>
              <w:spacing w:after="0" w:before="0" w:line="100" w:lineRule="atLeast"/>
              <w:contextualSpacing w:val="fals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type="dxa" w:w="245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left w:type="dxa" w:w="93"/>
            </w:tcMar>
          </w:tcPr>
          <w:p>
            <w:pPr>
              <w:pStyle w:val="style25"/>
              <w:spacing w:after="0" w:before="0" w:line="100" w:lineRule="atLeast"/>
              <w:contextualSpacing w:val="fals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Adresa MEN Nr. 57064</w:t>
            </w:r>
          </w:p>
        </w:tc>
        <w:tc>
          <w:tcPr>
            <w:tcW w:type="dxa" w:w="1369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left w:type="dxa" w:w="93"/>
            </w:tcMar>
          </w:tcPr>
          <w:p>
            <w:pPr>
              <w:pStyle w:val="style25"/>
              <w:spacing w:after="0" w:before="0" w:line="100" w:lineRule="atLeast"/>
              <w:contextualSpacing w:val="fals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2.09.2013</w:t>
            </w:r>
          </w:p>
        </w:tc>
        <w:tc>
          <w:tcPr>
            <w:tcW w:type="dxa" w:w="595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left w:type="dxa" w:w="93"/>
            </w:tcMar>
          </w:tcPr>
          <w:p>
            <w:pPr>
              <w:pStyle w:val="style25"/>
              <w:spacing w:after="0" w:before="0" w:line="100" w:lineRule="atLeast"/>
              <w:contextualSpacing w:val="fals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Activitatea și orele de predare ale consilierilor școlari</w:t>
            </w:r>
          </w:p>
        </w:tc>
      </w:tr>
      <w:tr>
        <w:trPr>
          <w:cantSplit w:val="false"/>
        </w:trPr>
        <w:tc>
          <w:tcPr>
            <w:tcW w:type="dxa" w:w="70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left w:type="dxa" w:w="93"/>
            </w:tcMar>
          </w:tcPr>
          <w:p>
            <w:pPr>
              <w:pStyle w:val="style25"/>
              <w:spacing w:after="0" w:before="0" w:line="100" w:lineRule="atLeast"/>
              <w:contextualSpacing w:val="fals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</w:t>
            </w:r>
          </w:p>
        </w:tc>
        <w:tc>
          <w:tcPr>
            <w:tcW w:type="dxa" w:w="245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left w:type="dxa" w:w="93"/>
            </w:tcMar>
          </w:tcPr>
          <w:p>
            <w:pPr>
              <w:pStyle w:val="style25"/>
              <w:spacing w:after="0" w:before="0" w:line="100" w:lineRule="atLeast"/>
              <w:contextualSpacing w:val="fals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Autoritatea naţională pentru calificări</w:t>
            </w:r>
          </w:p>
        </w:tc>
        <w:tc>
          <w:tcPr>
            <w:tcW w:type="dxa" w:w="1369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left w:type="dxa" w:w="93"/>
            </w:tcMar>
          </w:tcPr>
          <w:p>
            <w:pPr>
              <w:pStyle w:val="style25"/>
              <w:spacing w:after="0" w:before="0" w:line="100" w:lineRule="atLeast"/>
              <w:contextualSpacing w:val="fals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16.09.2010</w:t>
            </w:r>
          </w:p>
        </w:tc>
        <w:tc>
          <w:tcPr>
            <w:tcW w:type="dxa" w:w="595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left w:type="dxa" w:w="93"/>
            </w:tcMar>
          </w:tcPr>
          <w:p>
            <w:pPr>
              <w:pStyle w:val="style25"/>
              <w:spacing w:after="0" w:before="0" w:line="100" w:lineRule="atLeast"/>
              <w:contextualSpacing w:val="fals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Standard ocupaţional consilier şcolar</w:t>
            </w:r>
          </w:p>
          <w:p>
            <w:pPr>
              <w:pStyle w:val="style25"/>
              <w:spacing w:after="0" w:before="0" w:line="100" w:lineRule="atLeast"/>
              <w:contextualSpacing w:val="false"/>
              <w:rPr>
                <w:rStyle w:val="style17"/>
                <w:rFonts w:ascii="Times New Roman" w:hAnsi="Times New Roman"/>
              </w:rPr>
            </w:pPr>
            <w:hyperlink r:id="rId5">
              <w:r>
                <w:rPr>
                  <w:rStyle w:val="style17"/>
                  <w:rFonts w:ascii="Times New Roman" w:hAnsi="Times New Roman"/>
                </w:rPr>
                <w:t>http://www.anc.edu.ro/uploads/so/m/Consilier.scolar.pdf</w:t>
              </w:r>
            </w:hyperlink>
          </w:p>
        </w:tc>
      </w:tr>
      <w:tr>
        <w:trPr>
          <w:cantSplit w:val="false"/>
        </w:trPr>
        <w:tc>
          <w:tcPr>
            <w:tcW w:type="dxa" w:w="708"/>
            <w:tcBorders>
              <w:top w:val="nil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left w:type="dxa" w:w="93"/>
            </w:tcMar>
          </w:tcPr>
          <w:p>
            <w:pPr>
              <w:pStyle w:val="style25"/>
              <w:spacing w:after="0" w:before="0" w:line="100" w:lineRule="atLeast"/>
              <w:contextualSpacing w:val="fals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</w:t>
            </w:r>
          </w:p>
        </w:tc>
        <w:tc>
          <w:tcPr>
            <w:tcW w:type="dxa" w:w="2455"/>
            <w:tcBorders>
              <w:top w:val="nil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left w:type="dxa" w:w="93"/>
            </w:tcMar>
          </w:tcPr>
          <w:p>
            <w:pPr>
              <w:pStyle w:val="style25"/>
              <w:spacing w:after="0" w:before="0" w:line="100" w:lineRule="atLeast"/>
              <w:contextualSpacing w:val="fals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Colegiul psihologilor </w:t>
            </w:r>
          </w:p>
        </w:tc>
        <w:tc>
          <w:tcPr>
            <w:tcW w:type="dxa" w:w="1369"/>
            <w:tcBorders>
              <w:top w:val="nil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left w:type="dxa" w:w="93"/>
            </w:tcMar>
          </w:tcPr>
          <w:p>
            <w:pPr>
              <w:pStyle w:val="style25"/>
              <w:spacing w:after="0" w:before="0" w:line="100" w:lineRule="atLeast"/>
              <w:contextualSpacing w:val="fals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type="dxa" w:w="5955"/>
            <w:tcBorders>
              <w:top w:val="nil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left w:type="dxa" w:w="93"/>
            </w:tcMar>
          </w:tcPr>
          <w:p>
            <w:pPr>
              <w:pStyle w:val="style25"/>
              <w:spacing w:after="0" w:before="0" w:line="100" w:lineRule="atLeast"/>
              <w:contextualSpacing w:val="fals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Codul etic al consilierului şcolar</w:t>
            </w:r>
          </w:p>
        </w:tc>
      </w:tr>
      <w:tr>
        <w:trPr>
          <w:cantSplit w:val="false"/>
        </w:trPr>
        <w:tc>
          <w:tcPr>
            <w:tcW w:type="dxa" w:w="708"/>
            <w:tcBorders>
              <w:top w:val="nil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left w:type="dxa" w:w="93"/>
            </w:tcMar>
          </w:tcPr>
          <w:p>
            <w:pPr>
              <w:pStyle w:val="style25"/>
              <w:spacing w:after="0" w:before="0" w:line="100" w:lineRule="atLeast"/>
              <w:contextualSpacing w:val="false"/>
              <w:rPr/>
            </w:pPr>
            <w:r>
              <w:rPr/>
              <w:t>23</w:t>
            </w:r>
          </w:p>
        </w:tc>
        <w:tc>
          <w:tcPr>
            <w:tcW w:type="dxa" w:w="2455"/>
            <w:tcBorders>
              <w:top w:val="nil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left w:type="dxa" w:w="93"/>
            </w:tcMar>
          </w:tcPr>
          <w:p>
            <w:pPr>
              <w:pStyle w:val="style25"/>
              <w:spacing w:after="0" w:before="0" w:line="100" w:lineRule="atLeast"/>
              <w:contextualSpacing w:val="false"/>
              <w:rPr/>
            </w:pPr>
            <w:r>
              <w:rPr/>
              <w:t>Adresa MEN 29585</w:t>
            </w:r>
          </w:p>
        </w:tc>
        <w:tc>
          <w:tcPr>
            <w:tcW w:type="dxa" w:w="1369"/>
            <w:tcBorders>
              <w:top w:val="nil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left w:type="dxa" w:w="93"/>
            </w:tcMar>
          </w:tcPr>
          <w:p>
            <w:pPr>
              <w:pStyle w:val="style25"/>
              <w:spacing w:after="0" w:before="0" w:line="100" w:lineRule="atLeast"/>
              <w:contextualSpacing w:val="fals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2013</w:t>
            </w:r>
          </w:p>
        </w:tc>
        <w:tc>
          <w:tcPr>
            <w:tcW w:type="dxa" w:w="5955"/>
            <w:tcBorders>
              <w:top w:val="nil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left w:type="dxa" w:w="93"/>
            </w:tcMar>
          </w:tcPr>
          <w:p>
            <w:pPr>
              <w:pStyle w:val="style25"/>
              <w:spacing w:after="0" w:before="0" w:line="100" w:lineRule="atLeast"/>
              <w:contextualSpacing w:val="false"/>
              <w:rPr/>
            </w:pPr>
            <w:r>
              <w:rPr/>
              <w:t>norma predare consilieri scolari</w:t>
            </w:r>
          </w:p>
        </w:tc>
      </w:tr>
      <w:tr>
        <w:trPr>
          <w:cantSplit w:val="false"/>
        </w:trPr>
        <w:tc>
          <w:tcPr>
            <w:tcW w:type="dxa" w:w="708"/>
            <w:tcBorders>
              <w:top w:val="nil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left w:type="dxa" w:w="93"/>
            </w:tcMar>
          </w:tcPr>
          <w:p>
            <w:pPr>
              <w:pStyle w:val="style25"/>
              <w:spacing w:after="0" w:before="0" w:line="100" w:lineRule="atLeast"/>
              <w:contextualSpacing w:val="false"/>
              <w:rPr/>
            </w:pPr>
            <w:r>
              <w:rPr/>
              <w:t>24</w:t>
            </w:r>
          </w:p>
        </w:tc>
        <w:tc>
          <w:tcPr>
            <w:tcW w:type="dxa" w:w="2455"/>
            <w:tcBorders>
              <w:top w:val="nil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left w:type="dxa" w:w="93"/>
            </w:tcMar>
          </w:tcPr>
          <w:p>
            <w:pPr>
              <w:pStyle w:val="style25"/>
              <w:spacing w:after="0" w:before="0" w:line="100" w:lineRule="atLeast"/>
              <w:contextualSpacing w:val="false"/>
              <w:rPr/>
            </w:pPr>
            <w:r>
              <w:rPr/>
              <w:t>Ordinul MEN  nr. 3608</w:t>
            </w:r>
          </w:p>
        </w:tc>
        <w:tc>
          <w:tcPr>
            <w:tcW w:type="dxa" w:w="1369"/>
            <w:tcBorders>
              <w:top w:val="nil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left w:type="dxa" w:w="93"/>
            </w:tcMar>
          </w:tcPr>
          <w:p>
            <w:pPr>
              <w:pStyle w:val="style25"/>
              <w:spacing w:after="0" w:before="0" w:line="100" w:lineRule="atLeast"/>
              <w:contextualSpacing w:val="fals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2014</w:t>
            </w:r>
          </w:p>
        </w:tc>
        <w:tc>
          <w:tcPr>
            <w:tcW w:type="dxa" w:w="5955"/>
            <w:tcBorders>
              <w:top w:val="nil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left w:type="dxa" w:w="93"/>
            </w:tcMar>
          </w:tcPr>
          <w:p>
            <w:pPr>
              <w:pStyle w:val="style25"/>
              <w:spacing w:after="0" w:before="0" w:line="100" w:lineRule="atLeast"/>
              <w:contextualSpacing w:val="false"/>
              <w:rPr/>
            </w:pPr>
            <w:r>
              <w:rPr/>
              <w:t>Modificare ROF CJRAE- completare OMECTS 5555/2011- norma de predare cu 4 ore obligație de predare</w:t>
            </w:r>
          </w:p>
        </w:tc>
      </w:tr>
      <w:tr>
        <w:trPr>
          <w:cantSplit w:val="false"/>
        </w:trPr>
        <w:tc>
          <w:tcPr>
            <w:tcW w:type="dxa" w:w="708"/>
            <w:tcBorders>
              <w:top w:val="nil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left w:type="dxa" w:w="93"/>
            </w:tcMar>
          </w:tcPr>
          <w:p>
            <w:pPr>
              <w:pStyle w:val="style25"/>
              <w:spacing w:after="0" w:before="0" w:line="100" w:lineRule="atLeast"/>
              <w:contextualSpacing w:val="false"/>
              <w:rPr/>
            </w:pPr>
            <w:r>
              <w:rPr/>
              <w:t>25</w:t>
            </w:r>
          </w:p>
        </w:tc>
        <w:tc>
          <w:tcPr>
            <w:tcW w:type="dxa" w:w="2455"/>
            <w:tcBorders>
              <w:top w:val="nil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left w:type="dxa" w:w="93"/>
            </w:tcMar>
          </w:tcPr>
          <w:p>
            <w:pPr>
              <w:pStyle w:val="style25"/>
              <w:spacing w:after="0" w:before="0" w:line="100" w:lineRule="atLeast"/>
              <w:contextualSpacing w:val="false"/>
              <w:rPr/>
            </w:pPr>
            <w:r>
              <w:rPr/>
              <w:t>Ordinul MEN nr. 3597</w:t>
            </w:r>
          </w:p>
        </w:tc>
        <w:tc>
          <w:tcPr>
            <w:tcW w:type="dxa" w:w="1369"/>
            <w:tcBorders>
              <w:top w:val="nil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left w:type="dxa" w:w="93"/>
            </w:tcMar>
          </w:tcPr>
          <w:p>
            <w:pPr>
              <w:pStyle w:val="style25"/>
              <w:spacing w:after="0" w:before="0" w:line="100" w:lineRule="atLeast"/>
              <w:contextualSpacing w:val="fals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2014</w:t>
            </w:r>
          </w:p>
        </w:tc>
        <w:tc>
          <w:tcPr>
            <w:tcW w:type="dxa" w:w="5955"/>
            <w:tcBorders>
              <w:top w:val="nil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left w:type="dxa" w:w="93"/>
            </w:tcMar>
          </w:tcPr>
          <w:p>
            <w:pPr>
              <w:pStyle w:val="style25"/>
              <w:spacing w:after="0" w:before="0" w:line="100" w:lineRule="atLeast"/>
              <w:contextualSpacing w:val="false"/>
              <w:rPr/>
            </w:pPr>
            <w:r>
              <w:rPr/>
              <w:t xml:space="preserve"> </w:t>
            </w:r>
            <w:r>
              <w:rPr/>
              <w:t>Modificarea metodologiei de  evaluare  anuala a personalului  didactic  si didactic auxiliar</w:t>
            </w:r>
          </w:p>
        </w:tc>
      </w:tr>
      <w:tr>
        <w:trPr>
          <w:cantSplit w:val="false"/>
        </w:trPr>
        <w:tc>
          <w:tcPr>
            <w:tcW w:type="dxa" w:w="708"/>
            <w:tcBorders>
              <w:top w:val="nil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left w:type="dxa" w:w="93"/>
            </w:tcMar>
          </w:tcPr>
          <w:p>
            <w:pPr>
              <w:pStyle w:val="style25"/>
              <w:spacing w:after="0" w:before="0" w:line="100" w:lineRule="atLeast"/>
              <w:contextualSpacing w:val="false"/>
              <w:rPr/>
            </w:pPr>
            <w:r>
              <w:rPr/>
              <w:t>26</w:t>
            </w:r>
          </w:p>
        </w:tc>
        <w:tc>
          <w:tcPr>
            <w:tcW w:type="dxa" w:w="2455"/>
            <w:tcBorders>
              <w:top w:val="nil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left w:type="dxa" w:w="93"/>
            </w:tcMar>
          </w:tcPr>
          <w:p>
            <w:pPr>
              <w:pStyle w:val="style25"/>
              <w:spacing w:after="0" w:before="0" w:line="100" w:lineRule="atLeast"/>
              <w:contextualSpacing w:val="false"/>
              <w:rPr/>
            </w:pPr>
            <w:r>
              <w:rPr/>
              <w:t xml:space="preserve"> </w:t>
            </w:r>
            <w:r>
              <w:rPr/>
              <w:t>OMEC 4763 anexa 2</w:t>
            </w:r>
          </w:p>
        </w:tc>
        <w:tc>
          <w:tcPr>
            <w:tcW w:type="dxa" w:w="1369"/>
            <w:tcBorders>
              <w:top w:val="nil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left w:type="dxa" w:w="93"/>
            </w:tcMar>
          </w:tcPr>
          <w:p>
            <w:pPr>
              <w:pStyle w:val="style25"/>
              <w:spacing w:after="0" w:before="0" w:line="100" w:lineRule="atLeast"/>
              <w:contextualSpacing w:val="fals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2009</w:t>
            </w:r>
          </w:p>
        </w:tc>
        <w:tc>
          <w:tcPr>
            <w:tcW w:type="dxa" w:w="5955"/>
            <w:tcBorders>
              <w:top w:val="nil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left w:type="dxa" w:w="93"/>
            </w:tcMar>
          </w:tcPr>
          <w:p>
            <w:pPr>
              <w:pStyle w:val="style25"/>
              <w:spacing w:after="0" w:before="0" w:line="100" w:lineRule="atLeast"/>
              <w:contextualSpacing w:val="false"/>
              <w:rPr/>
            </w:pPr>
            <w:r>
              <w:rPr/>
              <w:t>dotare cabinete CAP OMEC 4763 anexa 2</w:t>
            </w:r>
          </w:p>
        </w:tc>
      </w:tr>
    </w:tbl>
    <w:p>
      <w:pPr>
        <w:pStyle w:val="style0"/>
        <w:spacing w:after="0" w:before="0" w:line="100" w:lineRule="atLeast"/>
        <w:contextualSpacing w:val="false"/>
        <w:rPr/>
      </w:pPr>
      <w:r>
        <w:rPr/>
      </w:r>
    </w:p>
    <w:p>
      <w:pPr>
        <w:pStyle w:val="style0"/>
        <w:spacing w:after="0" w:before="0" w:line="100" w:lineRule="atLeast"/>
        <w:contextualSpacing w:val="false"/>
        <w:rPr/>
      </w:pPr>
      <w:r>
        <w:rPr/>
      </w:r>
    </w:p>
    <w:p>
      <w:pPr>
        <w:pStyle w:val="style0"/>
        <w:rPr/>
      </w:pPr>
      <w:r>
        <w:rPr/>
      </w:r>
    </w:p>
    <w:p>
      <w:pPr>
        <w:pStyle w:val="style0"/>
        <w:rPr/>
      </w:pPr>
      <w:r>
        <w:rPr/>
      </w:r>
    </w:p>
    <w:p>
      <w:pPr>
        <w:pStyle w:val="style0"/>
        <w:widowControl/>
        <w:suppressAutoHyphens w:val="true"/>
        <w:spacing w:after="200" w:before="0" w:line="276" w:lineRule="auto"/>
        <w:contextualSpacing w:val="false"/>
        <w:rPr/>
      </w:pPr>
      <w:r>
        <w:rPr/>
      </w:r>
    </w:p>
    <w:p>
      <w:pPr>
        <w:pStyle w:val="style0"/>
        <w:widowControl/>
        <w:suppressAutoHyphens w:val="true"/>
        <w:spacing w:after="200" w:before="0" w:line="276" w:lineRule="auto"/>
        <w:contextualSpacing w:val="false"/>
        <w:rPr/>
      </w:pPr>
      <w:r>
        <w:rPr/>
      </w:r>
    </w:p>
    <w:sectPr>
      <w:type w:val="nextPage"/>
      <w:pgSz w:h="16838" w:w="11906"/>
      <w:pgMar w:bottom="1417" w:footer="0" w:gutter="0" w:header="0" w:left="1417" w:right="1417" w:top="1417"/>
      <w:pgNumType w:fmt="decimal"/>
      <w:formProt w:val="false"/>
      <w:textDirection w:val="lrTb"/>
      <w:docGrid w:charSpace="12288" w:linePitch="360" w:type="default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Times New Roman">
    <w:charset w:val="ee"/>
    <w:family w:val="roman"/>
    <w:pitch w:val="variable"/>
  </w:font>
  <w:font w:name="Calibri">
    <w:charset w:val="ee"/>
    <w:family w:val="roman"/>
    <w:pitch w:val="variable"/>
  </w:font>
  <w:font w:name="Arial">
    <w:charset w:val="ee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</w:settings>
</file>

<file path=word/styles.xml><?xml version="1.0" encoding="utf-8"?>
<w:styles xmlns:w="http://schemas.openxmlformats.org/wordprocessingml/2006/main">
  <w:style w:styleId="style0" w:type="paragraph">
    <w:name w:val="Normal"/>
    <w:next w:val="style0"/>
    <w:pPr>
      <w:widowControl/>
      <w:suppressAutoHyphens w:val="true"/>
      <w:spacing w:after="200" w:before="0" w:line="276" w:lineRule="auto"/>
      <w:contextualSpacing w:val="false"/>
    </w:pPr>
    <w:rPr>
      <w:rFonts w:ascii="Calibri" w:cs="Calibri" w:eastAsia="SimSun" w:hAnsi="Calibri"/>
      <w:color w:val="00000A"/>
      <w:sz w:val="22"/>
      <w:szCs w:val="22"/>
      <w:lang w:bidi="ar-SA" w:eastAsia="en-US" w:val="ro-RO"/>
    </w:rPr>
  </w:style>
  <w:style w:styleId="style15" w:type="character">
    <w:name w:val="Default Paragraph Font"/>
    <w:next w:val="style15"/>
    <w:rPr/>
  </w:style>
  <w:style w:styleId="style16" w:type="character">
    <w:name w:val="xar-title"/>
    <w:basedOn w:val="style15"/>
    <w:next w:val="style16"/>
    <w:rPr/>
  </w:style>
  <w:style w:styleId="style17" w:type="character">
    <w:name w:val="Legătură Internet"/>
    <w:basedOn w:val="style15"/>
    <w:next w:val="style17"/>
    <w:rPr>
      <w:color w:val="0000FF"/>
      <w:u w:val="single"/>
      <w:lang w:bidi="ro-RO" w:eastAsia="ro-RO" w:val="ro-RO"/>
    </w:rPr>
  </w:style>
  <w:style w:styleId="style18" w:type="character">
    <w:name w:val="Internet Link"/>
    <w:next w:val="style18"/>
    <w:rPr>
      <w:color w:val="000080"/>
      <w:u w:val="single"/>
      <w:lang w:bidi="zxx-" w:eastAsia="zxx-" w:val="zxx-"/>
    </w:rPr>
  </w:style>
  <w:style w:styleId="style19" w:type="paragraph">
    <w:name w:val="Heading"/>
    <w:basedOn w:val="style0"/>
    <w:next w:val="style20"/>
    <w:pPr>
      <w:keepNext/>
      <w:spacing w:after="120" w:before="240"/>
      <w:contextualSpacing w:val="false"/>
    </w:pPr>
    <w:rPr>
      <w:rFonts w:ascii="Arial" w:cs="Mangal" w:eastAsia="Microsoft YaHei" w:hAnsi="Arial"/>
      <w:sz w:val="28"/>
      <w:szCs w:val="28"/>
    </w:rPr>
  </w:style>
  <w:style w:styleId="style20" w:type="paragraph">
    <w:name w:val="Text Body"/>
    <w:basedOn w:val="style0"/>
    <w:next w:val="style20"/>
    <w:pPr>
      <w:spacing w:after="120" w:before="0"/>
      <w:contextualSpacing w:val="false"/>
    </w:pPr>
    <w:rPr/>
  </w:style>
  <w:style w:styleId="style21" w:type="paragraph">
    <w:name w:val="List"/>
    <w:basedOn w:val="style20"/>
    <w:next w:val="style21"/>
    <w:pPr/>
    <w:rPr>
      <w:rFonts w:cs="Mangal"/>
    </w:rPr>
  </w:style>
  <w:style w:styleId="style22" w:type="paragraph">
    <w:name w:val="Caption"/>
    <w:basedOn w:val="style0"/>
    <w:next w:val="style22"/>
    <w:pPr>
      <w:suppressLineNumbers/>
      <w:spacing w:after="120" w:before="120"/>
      <w:contextualSpacing w:val="false"/>
    </w:pPr>
    <w:rPr>
      <w:rFonts w:cs="Mangal"/>
      <w:i/>
      <w:iCs/>
      <w:sz w:val="24"/>
      <w:szCs w:val="24"/>
    </w:rPr>
  </w:style>
  <w:style w:styleId="style23" w:type="paragraph">
    <w:name w:val="Index"/>
    <w:basedOn w:val="style0"/>
    <w:next w:val="style23"/>
    <w:pPr>
      <w:suppressLineNumbers/>
    </w:pPr>
    <w:rPr>
      <w:rFonts w:cs="Mangal"/>
    </w:rPr>
  </w:style>
  <w:style w:styleId="style24" w:type="paragraph">
    <w:name w:val="List Paragraph"/>
    <w:basedOn w:val="style0"/>
    <w:next w:val="style24"/>
    <w:pPr>
      <w:spacing w:after="200" w:before="0"/>
      <w:ind w:hanging="0" w:left="720" w:right="0"/>
      <w:contextualSpacing/>
    </w:pPr>
    <w:rPr/>
  </w:style>
  <w:style w:styleId="style25" w:type="paragraph">
    <w:name w:val="Corp text"/>
    <w:basedOn w:val="style0"/>
    <w:next w:val="style25"/>
    <w:pPr>
      <w:tabs>
        <w:tab w:leader="none" w:pos="708" w:val="left"/>
      </w:tabs>
      <w:suppressAutoHyphens w:val="true"/>
      <w:spacing w:after="120" w:before="0"/>
      <w:contextualSpacing w:val="false"/>
    </w:pPr>
    <w:rPr>
      <w:rFonts w:ascii="Calibri" w:cs="Times New Roman" w:eastAsia="Calibri" w:hAnsi="Calibri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://www.cjraetm.ro/alemele/docum/Legeacopilului_272.pdf" TargetMode="External"/><Relationship Id="rId3" Type="http://schemas.openxmlformats.org/officeDocument/2006/relationships/hyperlink" Target="http://www.cjraetm.ro/alemele/docum/LEGEA_448.pdf" TargetMode="External"/><Relationship Id="rId4" Type="http://schemas.openxmlformats.org/officeDocument/2006/relationships/hyperlink" Target="http://legestart.ro/Monitorul-Oficial-797-din-10.11.2011-(M.-Of.-797-2011-21077).htm" TargetMode="External"/><Relationship Id="rId5" Type="http://schemas.openxmlformats.org/officeDocument/2006/relationships/hyperlink" Target="http://www.anc.edu.ro/uploads/so/m/Consilier.scolar.pdf" TargetMode="External"/><Relationship Id="rId6" Type="http://schemas.openxmlformats.org/officeDocument/2006/relationships/fontTable" Target="fontTable.xml"/><Relationship Id="rId7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LibreOffice/4.1.2.3$Windows_x86 LibreOffice_project/40b2d7fde7e8d2d7bc5a449dc65df4d08a7dd38</Applicat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terms:created xsi:type="dcterms:W3CDTF">2013-09-11T09:34:00Z</dcterms:created>
  <dc:creator>USER</dc:creator>
  <cp:lastModifiedBy>USER</cp:lastModifiedBy>
  <dcterms:modified xsi:type="dcterms:W3CDTF">2013-09-11T09:34:00Z</dcterms:modified>
  <cp:revision>1</cp:revision>
</cp:coreProperties>
</file>